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right="0" w:firstLine="0"/>
        <w:jc w:val="center"/>
        <w:shd w:val="clear" w:color="ffffff" w:fill="ffffff"/>
        <w:rPr>
          <w:rFonts w:ascii="PT Astra Serif" w:hAnsi="PT Astra Serif" w:cs="PT Astra Serif"/>
          <w:sz w:val="26"/>
          <w:szCs w:val="26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Astra Serif" w:hAnsi="PT Astra Serif"/>
          <w:b/>
          <w:bCs/>
          <w:sz w:val="26"/>
          <w:szCs w:val="26"/>
          <w:highlight w:val="none"/>
        </w:rPr>
        <w:t xml:space="preserve">Итоги </w:t>
      </w:r>
      <w:r>
        <w:rPr>
          <w:rFonts w:ascii="PT Astra Serif" w:hAnsi="PT Astra Serif"/>
          <w:b/>
          <w:bCs/>
          <w:sz w:val="26"/>
          <w:szCs w:val="26"/>
          <w:highlight w:val="none"/>
        </w:rPr>
        <w:t xml:space="preserve">работы </w:t>
      </w:r>
      <w:r>
        <w:rPr>
          <w:rFonts w:ascii="PT Astra Serif" w:hAnsi="PT Astra Serif"/>
          <w:b/>
          <w:bCs/>
          <w:sz w:val="26"/>
          <w:szCs w:val="26"/>
          <w:highlight w:val="none"/>
        </w:rPr>
        <w:t xml:space="preserve">рабочей группы Балаковского муниципального района </w:t>
      </w:r>
      <w:r>
        <w:rPr>
          <w:rFonts w:ascii="PT Astra Serif" w:hAnsi="PT Astra Serif"/>
          <w:b/>
          <w:bCs/>
          <w:sz w:val="26"/>
          <w:szCs w:val="26"/>
          <w:highlight w:val="none"/>
        </w:rPr>
        <w:t xml:space="preserve">межведомственной комиссии Саратовской области </w:t>
      </w:r>
      <w:r>
        <w:rPr>
          <w:rFonts w:ascii="PT Astra Serif" w:hAnsi="PT Astra Serif"/>
          <w:b/>
          <w:bCs/>
          <w:sz w:val="26"/>
          <w:szCs w:val="26"/>
        </w:rPr>
        <w:t xml:space="preserve">по противодействию формированию просроченной задолженности по заработной плате в 2025 году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ind w:firstLine="709"/>
        <w:jc w:val="both"/>
        <w:rPr>
          <w:rFonts w:ascii="PT Astra Serif" w:hAnsi="PT Astra Serif"/>
          <w:sz w:val="16"/>
          <w:szCs w:val="16"/>
          <w:highlight w:val="none"/>
        </w:rPr>
      </w:pPr>
      <w:r>
        <w:rPr>
          <w:rFonts w:ascii="PT Astra Serif" w:hAnsi="PT Astra Serif"/>
          <w:sz w:val="16"/>
          <w:szCs w:val="16"/>
          <w:highlight w:val="none"/>
        </w:rPr>
      </w:r>
      <w:r>
        <w:rPr>
          <w:rFonts w:ascii="PT Astra Serif" w:hAnsi="PT Astra Serif"/>
          <w:sz w:val="16"/>
          <w:szCs w:val="16"/>
          <w:highlight w:val="none"/>
        </w:rPr>
      </w:r>
      <w:r>
        <w:rPr>
          <w:rFonts w:ascii="PT Astra Serif" w:hAnsi="PT Astra Serif"/>
          <w:sz w:val="16"/>
          <w:szCs w:val="16"/>
          <w:highlight w:val="none"/>
        </w:rPr>
      </w:r>
    </w:p>
    <w:p>
      <w:pPr>
        <w:ind w:firstLine="709"/>
        <w:jc w:val="both"/>
        <w:rPr>
          <w:rFonts w:ascii="PT Astra Serif" w:hAnsi="PT Astra Serif"/>
          <w:sz w:val="26"/>
          <w:szCs w:val="26"/>
          <w:highlight w:val="none"/>
        </w:rPr>
      </w:pPr>
      <w:r>
        <w:rPr>
          <w:rFonts w:ascii="PT Astra Serif" w:hAnsi="PT Astra Serif"/>
          <w:sz w:val="26"/>
          <w:szCs w:val="26"/>
        </w:rPr>
        <w:t xml:space="preserve">На территории </w:t>
      </w:r>
      <w:r>
        <w:rPr>
          <w:rFonts w:ascii="PT Astra Serif" w:hAnsi="PT Astra Serif"/>
          <w:sz w:val="26"/>
          <w:szCs w:val="26"/>
        </w:rPr>
        <w:t xml:space="preserve">Балаковского</w:t>
      </w:r>
      <w:r>
        <w:rPr>
          <w:rFonts w:ascii="PT Astra Serif" w:hAnsi="PT Astra Serif"/>
          <w:sz w:val="26"/>
          <w:szCs w:val="26"/>
        </w:rPr>
        <w:t xml:space="preserve"> муницип</w:t>
      </w:r>
      <w:r>
        <w:rPr>
          <w:rFonts w:ascii="PT Astra Serif" w:hAnsi="PT Astra Serif"/>
          <w:sz w:val="26"/>
          <w:szCs w:val="26"/>
        </w:rPr>
        <w:t xml:space="preserve">ального района создана рабочая группа межведомственной комиссии по противодействию формированию просроченной задолженности по заработной плате (далее – Рабочая группа), утверждено постановлением администрации Балаковского района №1905 от 16 июня 2025 года.</w:t>
      </w:r>
      <w:r>
        <w:rPr>
          <w:rFonts w:ascii="PT Astra Serif" w:hAnsi="PT Astra Serif"/>
          <w:sz w:val="26"/>
          <w:szCs w:val="26"/>
        </w:rPr>
      </w:r>
      <w:r>
        <w:rPr>
          <w:rFonts w:ascii="PT Astra Serif" w:hAnsi="PT Astra Serif"/>
          <w:sz w:val="26"/>
          <w:szCs w:val="26"/>
          <w:highlight w:val="none"/>
        </w:rPr>
      </w:r>
    </w:p>
    <w:p>
      <w:pPr>
        <w:ind w:firstLine="709"/>
        <w:jc w:val="both"/>
        <w:rPr>
          <w:rFonts w:ascii="PT Astra Serif" w:hAnsi="PT Astra Serif"/>
          <w:b w:val="0"/>
          <w:bCs w:val="0"/>
          <w:sz w:val="26"/>
          <w:szCs w:val="26"/>
          <w:highlight w:val="none"/>
        </w:rPr>
      </w:pPr>
      <w:r>
        <w:rPr>
          <w:rFonts w:ascii="PT Astra Serif" w:hAnsi="PT Astra Serif"/>
          <w:sz w:val="26"/>
          <w:szCs w:val="26"/>
          <w:highlight w:val="none"/>
        </w:rPr>
        <w:t xml:space="preserve">20 августа 2025 года на первом совместном заседании Р</w:t>
      </w:r>
      <w:r>
        <w:rPr>
          <w:rFonts w:ascii="PT Astra Serif" w:hAnsi="PT Astra Serif"/>
          <w:b w:val="0"/>
          <w:bCs w:val="0"/>
          <w:sz w:val="26"/>
          <w:szCs w:val="26"/>
          <w:highlight w:val="none"/>
        </w:rPr>
        <w:t xml:space="preserve">абочей группы Балаковского муниципального района </w:t>
      </w:r>
      <w:r>
        <w:rPr>
          <w:rFonts w:ascii="PT Astra Serif" w:hAnsi="PT Astra Serif"/>
          <w:b w:val="0"/>
          <w:bCs w:val="0"/>
          <w:sz w:val="26"/>
          <w:szCs w:val="26"/>
        </w:rPr>
        <w:t xml:space="preserve">утвержден План мероприятий </w:t>
      </w:r>
      <w:r>
        <w:rPr>
          <w:rFonts w:ascii="PT Astra Serif" w:hAnsi="PT Astra Serif"/>
          <w:b w:val="0"/>
          <w:bCs w:val="0"/>
          <w:sz w:val="26"/>
          <w:szCs w:val="26"/>
        </w:rPr>
        <w:t xml:space="preserve">по противодействию формированию просроченной задолженности по заработной плате на 2025 год.</w:t>
      </w:r>
      <w:r>
        <w:rPr>
          <w:rFonts w:ascii="PT Astra Serif" w:hAnsi="PT Astra Serif"/>
          <w:b w:val="0"/>
          <w:bCs w:val="0"/>
          <w:sz w:val="26"/>
          <w:szCs w:val="26"/>
          <w:highlight w:val="none"/>
        </w:rPr>
      </w:r>
      <w:r>
        <w:rPr>
          <w:rFonts w:ascii="PT Astra Serif" w:hAnsi="PT Astra Serif"/>
          <w:b w:val="0"/>
          <w:bCs w:val="0"/>
          <w:sz w:val="26"/>
          <w:szCs w:val="26"/>
          <w:highlight w:val="none"/>
        </w:rPr>
      </w:r>
    </w:p>
    <w:p>
      <w:pPr>
        <w:ind w:left="0" w:right="0" w:firstLine="708"/>
        <w:jc w:val="both"/>
        <w:shd w:val="clear" w:color="ffffff" w:fill="ffffff"/>
        <w:rPr>
          <w:rFonts w:ascii="PT Astra Serif" w:hAnsi="PT Astra Serif" w:eastAsia="PT Astra Serif" w:cs="PT Astra Serif"/>
          <w:color w:val="050624"/>
          <w:sz w:val="26"/>
          <w:szCs w:val="26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Astra Serif" w:hAnsi="PT Astra Serif"/>
          <w:sz w:val="26"/>
          <w:szCs w:val="26"/>
        </w:rPr>
        <w:t xml:space="preserve">На территории </w:t>
      </w:r>
      <w:r>
        <w:rPr>
          <w:rFonts w:ascii="PT Astra Serif" w:hAnsi="PT Astra Serif"/>
          <w:sz w:val="26"/>
          <w:szCs w:val="26"/>
        </w:rPr>
        <w:t xml:space="preserve">района одна организация - </w:t>
      </w:r>
      <w:r>
        <w:rPr>
          <w:rFonts w:ascii="PT Astra Serif" w:hAnsi="PT Astra Serif"/>
          <w:sz w:val="26"/>
          <w:szCs w:val="26"/>
        </w:rPr>
        <w:t xml:space="preserve">ООО «МПО «Технология»</w:t>
      </w:r>
      <w:r>
        <w:rPr>
          <w:rFonts w:ascii="PT Astra Serif" w:hAnsi="PT Astra Serif"/>
          <w:sz w:val="26"/>
          <w:szCs w:val="26"/>
        </w:rPr>
        <w:t xml:space="preserve"> - имеет задолженность по заработной плате перед работниками.</w:t>
      </w:r>
      <w:r>
        <w:rPr>
          <w:rFonts w:ascii="PT Astra Serif" w:hAnsi="PT Astra Serif" w:eastAsia="PT Astra Serif" w:cs="PT Astra Serif"/>
          <w:color w:val="050624"/>
          <w:sz w:val="26"/>
          <w:szCs w:val="26"/>
          <w:highlight w:val="none"/>
        </w:rPr>
      </w:r>
      <w:r>
        <w:rPr>
          <w:rFonts w:ascii="PT Astra Serif" w:hAnsi="PT Astra Serif" w:eastAsia="PT Astra Serif" w:cs="PT Astra Serif"/>
          <w:color w:val="050624"/>
          <w:sz w:val="26"/>
          <w:szCs w:val="26"/>
          <w:highlight w:val="none"/>
        </w:rPr>
      </w:r>
    </w:p>
    <w:p>
      <w:pPr>
        <w:ind w:firstLine="709"/>
        <w:jc w:val="both"/>
        <w:rPr>
          <w:rFonts w:ascii="PT Astra Serif" w:hAnsi="PT Astra Serif" w:eastAsia="PT Astra Serif" w:cs="PT Astra Serif"/>
          <w:sz w:val="28"/>
          <w:szCs w:val="28"/>
        </w:rPr>
      </w:pPr>
      <w:r>
        <w:rPr>
          <w:rFonts w:ascii="PT Astra Serif" w:hAnsi="PT Astra Serif"/>
          <w:sz w:val="26"/>
          <w:szCs w:val="26"/>
          <w:lang w:eastAsia="zh-CN"/>
        </w:rPr>
        <w:t xml:space="preserve">За 2025 год б</w:t>
      </w:r>
      <w:r>
        <w:rPr>
          <w:rFonts w:ascii="PT Astra Serif" w:hAnsi="PT Astra Serif"/>
          <w:sz w:val="26"/>
          <w:szCs w:val="26"/>
        </w:rPr>
        <w:t xml:space="preserve">ыло проведено два заседания Рабочей группы с </w:t>
      </w:r>
      <w:r>
        <w:rPr>
          <w:rFonts w:ascii="PT Astra Serif" w:hAnsi="PT Astra Serif"/>
          <w:sz w:val="26"/>
          <w:szCs w:val="26"/>
        </w:rPr>
        <w:t xml:space="preserve">со</w:t>
      </w:r>
      <w:r>
        <w:rPr>
          <w:rFonts w:ascii="PT Astra Serif" w:hAnsi="PT Astra Serif"/>
          <w:sz w:val="26"/>
          <w:szCs w:val="26"/>
        </w:rPr>
        <w:t xml:space="preserve">учредителем организации Потехиным А.П. (20 августа 2025 года и </w:t>
        <w:br/>
        <w:t xml:space="preserve">28 октября 2025 года) в формате видео-конференц-связи.</w:t>
      </w:r>
      <w:r>
        <w:rPr>
          <w:rFonts w:ascii="PT Astra Serif" w:hAnsi="PT Astra Serif" w:eastAsia="PT Astra Serif" w:cs="PT Astra Serif"/>
          <w:sz w:val="26"/>
          <w:szCs w:val="26"/>
          <w:lang w:eastAsia="zh-CN"/>
        </w:rPr>
      </w:r>
      <w:r>
        <w:rPr>
          <w:rFonts w:ascii="PT Astra Serif" w:hAnsi="PT Astra Serif" w:eastAsia="PT Astra Serif" w:cs="PT Astra Serif"/>
          <w:sz w:val="28"/>
          <w:szCs w:val="28"/>
        </w:rPr>
      </w:r>
    </w:p>
    <w:p>
      <w:pPr>
        <w:ind w:left="0" w:right="0" w:firstLine="708"/>
        <w:jc w:val="both"/>
        <w:shd w:val="clear" w:color="ffffff" w:fill="ffffff"/>
        <w:rPr>
          <w:rFonts w:ascii="PT Astra Serif" w:hAnsi="PT Astra Serif" w:eastAsia="PT Astra Serif" w:cs="PT Astra Serif"/>
          <w:color w:val="050624"/>
          <w:sz w:val="26"/>
          <w:szCs w:val="26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Astra Serif" w:hAnsi="PT Astra Serif"/>
          <w:sz w:val="26"/>
          <w:szCs w:val="26"/>
        </w:rPr>
        <w:t xml:space="preserve">Администрацией </w:t>
      </w:r>
      <w:r>
        <w:rPr>
          <w:rFonts w:ascii="PT Astra Serif" w:hAnsi="PT Astra Serif"/>
          <w:sz w:val="26"/>
          <w:szCs w:val="26"/>
        </w:rPr>
        <w:t xml:space="preserve">Балаковского</w:t>
      </w:r>
      <w:r>
        <w:rPr>
          <w:rFonts w:ascii="PT Astra Serif" w:hAnsi="PT Astra Serif"/>
          <w:sz w:val="26"/>
          <w:szCs w:val="26"/>
        </w:rPr>
        <w:t xml:space="preserve"> муниципального района проведена сверка задолженности ООО «МПО «Технология» перед МИФНС №2 по Саратовской области. Информация о сумме задолженности доведена до директора  </w:t>
        <w:br/>
      </w:r>
      <w:r>
        <w:rPr>
          <w:rFonts w:ascii="PT Astra Serif" w:hAnsi="PT Astra Serif"/>
          <w:sz w:val="26"/>
          <w:szCs w:val="26"/>
        </w:rPr>
        <w:t xml:space="preserve">ООО «МПО «Технология» Беляева Е.А. и соучредителя Потехина А.П.</w:t>
      </w:r>
      <w:r>
        <w:rPr>
          <w:rFonts w:ascii="PT Astra Serif" w:hAnsi="PT Astra Serif" w:eastAsia="PT Astra Serif" w:cs="PT Astra Serif"/>
          <w:color w:val="050624"/>
          <w:sz w:val="26"/>
          <w:szCs w:val="26"/>
          <w:highlight w:val="none"/>
        </w:rPr>
      </w:r>
      <w:r>
        <w:rPr>
          <w:rFonts w:ascii="PT Astra Serif" w:hAnsi="PT Astra Serif" w:eastAsia="PT Astra Serif" w:cs="PT Astra Serif"/>
          <w:color w:val="050624"/>
          <w:sz w:val="26"/>
          <w:szCs w:val="26"/>
          <w:highlight w:val="none"/>
        </w:rPr>
      </w:r>
    </w:p>
    <w:p>
      <w:pPr>
        <w:ind w:left="0" w:right="0" w:firstLine="708"/>
        <w:jc w:val="both"/>
        <w:shd w:val="clear" w:color="ffffff" w:fill="ffffff"/>
        <w:rPr>
          <w:rFonts w:ascii="PT Astra Serif" w:hAnsi="PT Astra Serif" w:eastAsia="PT Astra Serif" w:cs="PT Astra Serif"/>
          <w:color w:val="050624"/>
          <w:sz w:val="26"/>
          <w:szCs w:val="26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Astra Serif" w:hAnsi="PT Astra Serif"/>
          <w:sz w:val="26"/>
          <w:szCs w:val="26"/>
          <w:highlight w:val="none"/>
        </w:rPr>
        <w:t xml:space="preserve">В 2025 году </w:t>
      </w:r>
      <w:r>
        <w:rPr>
          <w:rFonts w:ascii="PT Astra Serif" w:hAnsi="PT Astra Serif" w:eastAsia="PT Astra Serif" w:cs="PT Astra Serif"/>
          <w:color w:val="050624"/>
          <w:sz w:val="26"/>
          <w:szCs w:val="26"/>
          <w:highlight w:val="none"/>
        </w:rPr>
        <w:t xml:space="preserve">на информационном сайте администрации Балаковского района создана вкладка </w:t>
      </w:r>
      <w:r>
        <w:rPr>
          <w:rFonts w:ascii="PT Astra Serif" w:hAnsi="PT Astra Serif"/>
          <w:sz w:val="26"/>
          <w:szCs w:val="26"/>
        </w:rPr>
        <w:t xml:space="preserve">«Мероприятия по противодействию формированию просроченной задолженности по заработной плате» (в разделе </w:t>
      </w:r>
      <w:r>
        <w:rPr>
          <w:rFonts w:ascii="PT Astra Serif" w:hAnsi="PT Astra Serif"/>
          <w:sz w:val="26"/>
          <w:szCs w:val="26"/>
        </w:rPr>
        <w:t xml:space="preserve">«Социально-экономическое р</w:t>
      </w:r>
      <w:r>
        <w:rPr>
          <w:rFonts w:ascii="PT Astra Serif" w:hAnsi="PT Astra Serif"/>
          <w:sz w:val="27"/>
          <w:szCs w:val="27"/>
        </w:rPr>
        <w:t xml:space="preserve">азвитие»), где размещена вся информация о деятельности Рабочей группы.</w:t>
      </w:r>
      <w:r>
        <w:rPr>
          <w:rFonts w:ascii="PT Astra Serif" w:hAnsi="PT Astra Serif" w:eastAsia="PT Astra Serif" w:cs="PT Astra Serif"/>
          <w:color w:val="050624"/>
          <w:sz w:val="26"/>
          <w:szCs w:val="26"/>
          <w:highlight w:val="none"/>
        </w:rPr>
      </w:r>
      <w:r>
        <w:rPr>
          <w:rFonts w:ascii="PT Astra Serif" w:hAnsi="PT Astra Serif" w:eastAsia="PT Astra Serif" w:cs="PT Astra Serif"/>
          <w:color w:val="050624"/>
          <w:sz w:val="26"/>
          <w:szCs w:val="26"/>
          <w:highlight w:val="none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PT Astra Serif">
    <w:panose1 w:val="020A060304050502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2">
    <w:name w:val="Heading 1"/>
    <w:basedOn w:val="838"/>
    <w:next w:val="838"/>
    <w:link w:val="66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3">
    <w:name w:val="Heading 1 Char"/>
    <w:link w:val="662"/>
    <w:uiPriority w:val="9"/>
    <w:rPr>
      <w:rFonts w:ascii="Arial" w:hAnsi="Arial" w:eastAsia="Arial" w:cs="Arial"/>
      <w:sz w:val="40"/>
      <w:szCs w:val="40"/>
    </w:rPr>
  </w:style>
  <w:style w:type="paragraph" w:styleId="664">
    <w:name w:val="Heading 2"/>
    <w:basedOn w:val="838"/>
    <w:next w:val="838"/>
    <w:link w:val="66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5">
    <w:name w:val="Heading 2 Char"/>
    <w:link w:val="664"/>
    <w:uiPriority w:val="9"/>
    <w:rPr>
      <w:rFonts w:ascii="Arial" w:hAnsi="Arial" w:eastAsia="Arial" w:cs="Arial"/>
      <w:sz w:val="34"/>
    </w:rPr>
  </w:style>
  <w:style w:type="paragraph" w:styleId="666">
    <w:name w:val="Heading 3"/>
    <w:basedOn w:val="838"/>
    <w:next w:val="838"/>
    <w:link w:val="66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7">
    <w:name w:val="Heading 3 Char"/>
    <w:link w:val="666"/>
    <w:uiPriority w:val="9"/>
    <w:rPr>
      <w:rFonts w:ascii="Arial" w:hAnsi="Arial" w:eastAsia="Arial" w:cs="Arial"/>
      <w:sz w:val="30"/>
      <w:szCs w:val="30"/>
    </w:rPr>
  </w:style>
  <w:style w:type="paragraph" w:styleId="668">
    <w:name w:val="Heading 4"/>
    <w:basedOn w:val="838"/>
    <w:next w:val="838"/>
    <w:link w:val="66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9">
    <w:name w:val="Heading 4 Char"/>
    <w:link w:val="668"/>
    <w:uiPriority w:val="9"/>
    <w:rPr>
      <w:rFonts w:ascii="Arial" w:hAnsi="Arial" w:eastAsia="Arial" w:cs="Arial"/>
      <w:b/>
      <w:bCs/>
      <w:sz w:val="26"/>
      <w:szCs w:val="26"/>
    </w:rPr>
  </w:style>
  <w:style w:type="paragraph" w:styleId="670">
    <w:name w:val="Heading 5"/>
    <w:basedOn w:val="838"/>
    <w:next w:val="838"/>
    <w:link w:val="67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1">
    <w:name w:val="Heading 5 Char"/>
    <w:link w:val="670"/>
    <w:uiPriority w:val="9"/>
    <w:rPr>
      <w:rFonts w:ascii="Arial" w:hAnsi="Arial" w:eastAsia="Arial" w:cs="Arial"/>
      <w:b/>
      <w:bCs/>
      <w:sz w:val="24"/>
      <w:szCs w:val="24"/>
    </w:rPr>
  </w:style>
  <w:style w:type="paragraph" w:styleId="672">
    <w:name w:val="Heading 6"/>
    <w:basedOn w:val="838"/>
    <w:next w:val="838"/>
    <w:link w:val="67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3">
    <w:name w:val="Heading 6 Char"/>
    <w:link w:val="672"/>
    <w:uiPriority w:val="9"/>
    <w:rPr>
      <w:rFonts w:ascii="Arial" w:hAnsi="Arial" w:eastAsia="Arial" w:cs="Arial"/>
      <w:b/>
      <w:bCs/>
      <w:sz w:val="22"/>
      <w:szCs w:val="22"/>
    </w:rPr>
  </w:style>
  <w:style w:type="paragraph" w:styleId="674">
    <w:name w:val="Heading 7"/>
    <w:basedOn w:val="838"/>
    <w:next w:val="838"/>
    <w:link w:val="67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5">
    <w:name w:val="Heading 7 Char"/>
    <w:link w:val="67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6">
    <w:name w:val="Heading 8"/>
    <w:basedOn w:val="838"/>
    <w:next w:val="838"/>
    <w:link w:val="67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7">
    <w:name w:val="Heading 8 Char"/>
    <w:link w:val="676"/>
    <w:uiPriority w:val="9"/>
    <w:rPr>
      <w:rFonts w:ascii="Arial" w:hAnsi="Arial" w:eastAsia="Arial" w:cs="Arial"/>
      <w:i/>
      <w:iCs/>
      <w:sz w:val="22"/>
      <w:szCs w:val="22"/>
    </w:rPr>
  </w:style>
  <w:style w:type="paragraph" w:styleId="678">
    <w:name w:val="Heading 9"/>
    <w:basedOn w:val="838"/>
    <w:next w:val="838"/>
    <w:link w:val="67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9">
    <w:name w:val="Heading 9 Char"/>
    <w:link w:val="678"/>
    <w:uiPriority w:val="9"/>
    <w:rPr>
      <w:rFonts w:ascii="Arial" w:hAnsi="Arial" w:eastAsia="Arial" w:cs="Arial"/>
      <w:i/>
      <w:iCs/>
      <w:sz w:val="21"/>
      <w:szCs w:val="21"/>
    </w:rPr>
  </w:style>
  <w:style w:type="paragraph" w:styleId="680">
    <w:name w:val="Title"/>
    <w:basedOn w:val="838"/>
    <w:next w:val="838"/>
    <w:link w:val="68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1">
    <w:name w:val="Title Char"/>
    <w:link w:val="680"/>
    <w:uiPriority w:val="10"/>
    <w:rPr>
      <w:sz w:val="48"/>
      <w:szCs w:val="48"/>
    </w:rPr>
  </w:style>
  <w:style w:type="paragraph" w:styleId="682">
    <w:name w:val="Subtitle"/>
    <w:basedOn w:val="838"/>
    <w:next w:val="838"/>
    <w:link w:val="683"/>
    <w:uiPriority w:val="11"/>
    <w:qFormat/>
    <w:pPr>
      <w:spacing w:before="200" w:after="200"/>
    </w:pPr>
    <w:rPr>
      <w:sz w:val="24"/>
      <w:szCs w:val="24"/>
    </w:rPr>
  </w:style>
  <w:style w:type="character" w:styleId="683">
    <w:name w:val="Subtitle Char"/>
    <w:link w:val="682"/>
    <w:uiPriority w:val="11"/>
    <w:rPr>
      <w:sz w:val="24"/>
      <w:szCs w:val="24"/>
    </w:rPr>
  </w:style>
  <w:style w:type="paragraph" w:styleId="684">
    <w:name w:val="Quote"/>
    <w:basedOn w:val="838"/>
    <w:next w:val="838"/>
    <w:link w:val="685"/>
    <w:uiPriority w:val="29"/>
    <w:qFormat/>
    <w:pPr>
      <w:ind w:left="720" w:right="720"/>
    </w:pPr>
    <w:rPr>
      <w:i/>
    </w:rPr>
  </w:style>
  <w:style w:type="character" w:styleId="685">
    <w:name w:val="Quote Char"/>
    <w:link w:val="684"/>
    <w:uiPriority w:val="29"/>
    <w:rPr>
      <w:i/>
    </w:rPr>
  </w:style>
  <w:style w:type="paragraph" w:styleId="686">
    <w:name w:val="Intense Quote"/>
    <w:basedOn w:val="838"/>
    <w:next w:val="838"/>
    <w:link w:val="68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7">
    <w:name w:val="Intense Quote Char"/>
    <w:link w:val="686"/>
    <w:uiPriority w:val="30"/>
    <w:rPr>
      <w:i/>
    </w:rPr>
  </w:style>
  <w:style w:type="paragraph" w:styleId="688">
    <w:name w:val="Header"/>
    <w:basedOn w:val="838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Header Char"/>
    <w:link w:val="688"/>
    <w:uiPriority w:val="99"/>
  </w:style>
  <w:style w:type="paragraph" w:styleId="690">
    <w:name w:val="Footer"/>
    <w:basedOn w:val="838"/>
    <w:link w:val="69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Footer Char"/>
    <w:link w:val="690"/>
    <w:uiPriority w:val="99"/>
  </w:style>
  <w:style w:type="paragraph" w:styleId="692">
    <w:name w:val="Caption"/>
    <w:basedOn w:val="838"/>
    <w:next w:val="838"/>
    <w:link w:val="69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3">
    <w:name w:val="Caption Char"/>
    <w:link w:val="692"/>
    <w:uiPriority w:val="35"/>
    <w:rPr>
      <w:b/>
      <w:bCs/>
      <w:color w:val="4f81bd" w:themeColor="accent1"/>
      <w:sz w:val="18"/>
      <w:szCs w:val="18"/>
    </w:rPr>
  </w:style>
  <w:style w:type="table" w:styleId="694">
    <w:name w:val="Table Grid"/>
    <w:basedOn w:val="83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Table Grid Light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Plain Table 1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2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9">
    <w:name w:val="Plain Table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Plain Table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1">
    <w:name w:val="Grid Table 1 Light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4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3">
    <w:name w:val="Grid Table 4 - Accent 1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4">
    <w:name w:val="Grid Table 4 - Accent 2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5">
    <w:name w:val="Grid Table 4 - Accent 3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6">
    <w:name w:val="Grid Table 4 - Accent 4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7">
    <w:name w:val="Grid Table 4 - Accent 5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8">
    <w:name w:val="Grid Table 4 - Accent 6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9">
    <w:name w:val="Grid Table 5 Dark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6">
    <w:name w:val="Grid Table 6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7">
    <w:name w:val="Grid Table 6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8">
    <w:name w:val="Grid Table 6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9">
    <w:name w:val="Grid Table 6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0">
    <w:name w:val="Grid Table 6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1">
    <w:name w:val="Grid Table 6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6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7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8">
    <w:name w:val="List Table 2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9">
    <w:name w:val="List Table 2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0">
    <w:name w:val="List Table 2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1">
    <w:name w:val="List Table 2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2">
    <w:name w:val="List Table 2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3">
    <w:name w:val="List Table 2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4">
    <w:name w:val="List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5 Dark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6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6">
    <w:name w:val="List Table 6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7">
    <w:name w:val="List Table 6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8">
    <w:name w:val="List Table 6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9">
    <w:name w:val="List Table 6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0">
    <w:name w:val="List Table 6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1">
    <w:name w:val="List Table 6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2">
    <w:name w:val="List Table 7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3">
    <w:name w:val="List Table 7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94">
    <w:name w:val="List Table 7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5">
    <w:name w:val="List Table 7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6">
    <w:name w:val="List Table 7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7">
    <w:name w:val="List Table 7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8">
    <w:name w:val="List Table 7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9">
    <w:name w:val="Lined - Accent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Lined - Accent 1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1">
    <w:name w:val="Lined - Accent 2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2">
    <w:name w:val="Lined - Accent 3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3">
    <w:name w:val="Lined - Accent 4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4">
    <w:name w:val="Lined - Accent 5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5">
    <w:name w:val="Lined - Accent 6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6">
    <w:name w:val="Bordered &amp; Lined - Accent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Bordered &amp; Lined - Accent 1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8">
    <w:name w:val="Bordered &amp; Lined - Accent 2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9">
    <w:name w:val="Bordered &amp; Lined - Accent 3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10">
    <w:name w:val="Bordered &amp; Lined - Accent 4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1">
    <w:name w:val="Bordered &amp; Lined - Accent 5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2">
    <w:name w:val="Bordered &amp; Lined - Accent 6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3">
    <w:name w:val="Bordered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4">
    <w:name w:val="Bordered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5">
    <w:name w:val="Bordered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6">
    <w:name w:val="Bordered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7">
    <w:name w:val="Bordered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8">
    <w:name w:val="Bordered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9">
    <w:name w:val="Bordered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0">
    <w:name w:val="Hyperlink"/>
    <w:uiPriority w:val="99"/>
    <w:unhideWhenUsed/>
    <w:rPr>
      <w:color w:val="0000ff" w:themeColor="hyperlink"/>
      <w:u w:val="single"/>
    </w:rPr>
  </w:style>
  <w:style w:type="paragraph" w:styleId="821">
    <w:name w:val="footnote text"/>
    <w:basedOn w:val="838"/>
    <w:link w:val="822"/>
    <w:uiPriority w:val="99"/>
    <w:semiHidden/>
    <w:unhideWhenUsed/>
    <w:pPr>
      <w:spacing w:after="40" w:line="240" w:lineRule="auto"/>
    </w:pPr>
    <w:rPr>
      <w:sz w:val="18"/>
    </w:rPr>
  </w:style>
  <w:style w:type="character" w:styleId="822">
    <w:name w:val="Footnote Text Char"/>
    <w:link w:val="821"/>
    <w:uiPriority w:val="99"/>
    <w:rPr>
      <w:sz w:val="18"/>
    </w:rPr>
  </w:style>
  <w:style w:type="character" w:styleId="823">
    <w:name w:val="footnote reference"/>
    <w:uiPriority w:val="99"/>
    <w:unhideWhenUsed/>
    <w:rPr>
      <w:vertAlign w:val="superscript"/>
    </w:rPr>
  </w:style>
  <w:style w:type="paragraph" w:styleId="824">
    <w:name w:val="endnote text"/>
    <w:basedOn w:val="838"/>
    <w:link w:val="825"/>
    <w:uiPriority w:val="99"/>
    <w:semiHidden/>
    <w:unhideWhenUsed/>
    <w:pPr>
      <w:spacing w:after="0" w:line="240" w:lineRule="auto"/>
    </w:pPr>
    <w:rPr>
      <w:sz w:val="20"/>
    </w:rPr>
  </w:style>
  <w:style w:type="character" w:styleId="825">
    <w:name w:val="Endnote Text Char"/>
    <w:link w:val="824"/>
    <w:uiPriority w:val="99"/>
    <w:rPr>
      <w:sz w:val="20"/>
    </w:rPr>
  </w:style>
  <w:style w:type="character" w:styleId="826">
    <w:name w:val="endnote reference"/>
    <w:uiPriority w:val="99"/>
    <w:semiHidden/>
    <w:unhideWhenUsed/>
    <w:rPr>
      <w:vertAlign w:val="superscript"/>
    </w:rPr>
  </w:style>
  <w:style w:type="paragraph" w:styleId="827">
    <w:name w:val="toc 1"/>
    <w:basedOn w:val="838"/>
    <w:next w:val="838"/>
    <w:uiPriority w:val="39"/>
    <w:unhideWhenUsed/>
    <w:pPr>
      <w:ind w:left="0" w:right="0" w:firstLine="0"/>
      <w:spacing w:after="57"/>
    </w:pPr>
  </w:style>
  <w:style w:type="paragraph" w:styleId="828">
    <w:name w:val="toc 2"/>
    <w:basedOn w:val="838"/>
    <w:next w:val="838"/>
    <w:uiPriority w:val="39"/>
    <w:unhideWhenUsed/>
    <w:pPr>
      <w:ind w:left="283" w:right="0" w:firstLine="0"/>
      <w:spacing w:after="57"/>
    </w:pPr>
  </w:style>
  <w:style w:type="paragraph" w:styleId="829">
    <w:name w:val="toc 3"/>
    <w:basedOn w:val="838"/>
    <w:next w:val="838"/>
    <w:uiPriority w:val="39"/>
    <w:unhideWhenUsed/>
    <w:pPr>
      <w:ind w:left="567" w:right="0" w:firstLine="0"/>
      <w:spacing w:after="57"/>
    </w:pPr>
  </w:style>
  <w:style w:type="paragraph" w:styleId="830">
    <w:name w:val="toc 4"/>
    <w:basedOn w:val="838"/>
    <w:next w:val="838"/>
    <w:uiPriority w:val="39"/>
    <w:unhideWhenUsed/>
    <w:pPr>
      <w:ind w:left="850" w:right="0" w:firstLine="0"/>
      <w:spacing w:after="57"/>
    </w:pPr>
  </w:style>
  <w:style w:type="paragraph" w:styleId="831">
    <w:name w:val="toc 5"/>
    <w:basedOn w:val="838"/>
    <w:next w:val="838"/>
    <w:uiPriority w:val="39"/>
    <w:unhideWhenUsed/>
    <w:pPr>
      <w:ind w:left="1134" w:right="0" w:firstLine="0"/>
      <w:spacing w:after="57"/>
    </w:pPr>
  </w:style>
  <w:style w:type="paragraph" w:styleId="832">
    <w:name w:val="toc 6"/>
    <w:basedOn w:val="838"/>
    <w:next w:val="838"/>
    <w:uiPriority w:val="39"/>
    <w:unhideWhenUsed/>
    <w:pPr>
      <w:ind w:left="1417" w:right="0" w:firstLine="0"/>
      <w:spacing w:after="57"/>
    </w:pPr>
  </w:style>
  <w:style w:type="paragraph" w:styleId="833">
    <w:name w:val="toc 7"/>
    <w:basedOn w:val="838"/>
    <w:next w:val="838"/>
    <w:uiPriority w:val="39"/>
    <w:unhideWhenUsed/>
    <w:pPr>
      <w:ind w:left="1701" w:right="0" w:firstLine="0"/>
      <w:spacing w:after="57"/>
    </w:pPr>
  </w:style>
  <w:style w:type="paragraph" w:styleId="834">
    <w:name w:val="toc 8"/>
    <w:basedOn w:val="838"/>
    <w:next w:val="838"/>
    <w:uiPriority w:val="39"/>
    <w:unhideWhenUsed/>
    <w:pPr>
      <w:ind w:left="1984" w:right="0" w:firstLine="0"/>
      <w:spacing w:after="57"/>
    </w:pPr>
  </w:style>
  <w:style w:type="paragraph" w:styleId="835">
    <w:name w:val="toc 9"/>
    <w:basedOn w:val="838"/>
    <w:next w:val="838"/>
    <w:uiPriority w:val="39"/>
    <w:unhideWhenUsed/>
    <w:pPr>
      <w:ind w:left="2268" w:right="0" w:firstLine="0"/>
      <w:spacing w:after="57"/>
    </w:pPr>
  </w:style>
  <w:style w:type="paragraph" w:styleId="836">
    <w:name w:val="TOC Heading"/>
    <w:uiPriority w:val="39"/>
    <w:unhideWhenUsed/>
  </w:style>
  <w:style w:type="paragraph" w:styleId="837">
    <w:name w:val="table of figures"/>
    <w:basedOn w:val="838"/>
    <w:next w:val="838"/>
    <w:uiPriority w:val="99"/>
    <w:unhideWhenUsed/>
    <w:pPr>
      <w:spacing w:after="0" w:afterAutospacing="0"/>
    </w:pPr>
  </w:style>
  <w:style w:type="paragraph" w:styleId="838" w:default="1">
    <w:name w:val="Normal"/>
    <w:qFormat/>
  </w:style>
  <w:style w:type="table" w:styleId="83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0" w:default="1">
    <w:name w:val="No List"/>
    <w:uiPriority w:val="99"/>
    <w:semiHidden/>
    <w:unhideWhenUsed/>
  </w:style>
  <w:style w:type="paragraph" w:styleId="841">
    <w:name w:val="No Spacing"/>
    <w:basedOn w:val="838"/>
    <w:uiPriority w:val="1"/>
    <w:qFormat/>
    <w:pPr>
      <w:spacing w:after="0" w:line="240" w:lineRule="auto"/>
    </w:pPr>
  </w:style>
  <w:style w:type="paragraph" w:styleId="842">
    <w:name w:val="List Paragraph"/>
    <w:basedOn w:val="838"/>
    <w:uiPriority w:val="34"/>
    <w:qFormat/>
    <w:pPr>
      <w:contextualSpacing/>
      <w:ind w:left="720"/>
    </w:pPr>
  </w:style>
  <w:style w:type="character" w:styleId="843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user</cp:lastModifiedBy>
  <cp:revision>3</cp:revision>
  <dcterms:modified xsi:type="dcterms:W3CDTF">2026-02-04T04:54:35Z</dcterms:modified>
</cp:coreProperties>
</file>